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24"/>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24"/>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1"/>
        <w:numPr>
          <w:ilvl w:val="1"/>
          <w:numId w:val="24"/>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is a reference to (as it has effect from time to time):</w:t>
      </w:r>
    </w:p>
    <w:p w:rsidR="00000000" w:rsidDel="00000000" w:rsidP="00000000" w:rsidRDefault="00000000" w:rsidRPr="00000000" w14:paraId="00000012">
      <w:pPr>
        <w:numPr>
          <w:ilvl w:val="3"/>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2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keepNext w:val="1"/>
        <w:numPr>
          <w:ilvl w:val="1"/>
          <w:numId w:val="24"/>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1fob9te"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8">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9">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A">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B">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applicable Law;</w:t>
            </w:r>
          </w:p>
          <w:p w:rsidR="00000000" w:rsidDel="00000000" w:rsidP="00000000" w:rsidRDefault="00000000" w:rsidRPr="00000000" w14:paraId="0000002C">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D">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E">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F">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0">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1">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2">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4">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Relevant Authority’s</w:t>
            </w:r>
            <w:r w:rsidDel="00000000" w:rsidR="00000000" w:rsidRPr="00000000">
              <w:rPr>
                <w:rFonts w:ascii="Arial" w:cs="Arial" w:eastAsia="Arial" w:hAnsi="Arial"/>
                <w:color w:val="000000"/>
                <w:sz w:val="24"/>
                <w:szCs w:val="24"/>
                <w:rtl w:val="0"/>
              </w:rPr>
              <w:t xml:space="preserve"> internal and external auditors;</w:t>
            </w:r>
          </w:p>
          <w:p w:rsidR="00000000" w:rsidDel="00000000" w:rsidP="00000000" w:rsidRDefault="00000000" w:rsidRPr="00000000" w14:paraId="00000035">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Relevant Authority’s</w:t>
            </w:r>
            <w:r w:rsidDel="00000000" w:rsidR="00000000" w:rsidRPr="00000000">
              <w:rPr>
                <w:rFonts w:ascii="Arial" w:cs="Arial" w:eastAsia="Arial" w:hAnsi="Arial"/>
                <w:color w:val="000000"/>
                <w:sz w:val="24"/>
                <w:szCs w:val="24"/>
                <w:rtl w:val="0"/>
              </w:rPr>
              <w:t xml:space="preserve"> statutory or regulatory auditors;</w:t>
            </w:r>
          </w:p>
          <w:p w:rsidR="00000000" w:rsidDel="00000000" w:rsidP="00000000" w:rsidRDefault="00000000" w:rsidRPr="00000000" w14:paraId="00000036">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7">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8">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w:t>
            </w:r>
            <w:r w:rsidDel="00000000" w:rsidR="00000000" w:rsidRPr="00000000">
              <w:rPr>
                <w:rFonts w:ascii="Arial" w:cs="Arial" w:eastAsia="Arial" w:hAnsi="Arial"/>
                <w:sz w:val="24"/>
                <w:szCs w:val="24"/>
                <w:rtl w:val="0"/>
              </w:rPr>
              <w:t xml:space="preserve">Relevant Authority’s</w:t>
            </w:r>
            <w:r w:rsidDel="00000000" w:rsidR="00000000" w:rsidRPr="00000000">
              <w:rPr>
                <w:rFonts w:ascii="Arial" w:cs="Arial" w:eastAsia="Arial" w:hAnsi="Arial"/>
                <w:color w:val="000000"/>
                <w:sz w:val="24"/>
                <w:szCs w:val="24"/>
                <w:rtl w:val="0"/>
              </w:rPr>
              <w:t xml:space="preserve"> to carry out audit or similar review functions; and</w:t>
            </w:r>
          </w:p>
          <w:p w:rsidR="00000000" w:rsidDel="00000000" w:rsidP="00000000" w:rsidRDefault="00000000" w:rsidRPr="00000000" w14:paraId="00000039">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trHeight w:val="601" w:hRule="atLeast"/>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c>
          <w:tcPr/>
          <w:p w:rsidR="00000000" w:rsidDel="00000000" w:rsidP="00000000" w:rsidRDefault="00000000" w:rsidRPr="00000000" w14:paraId="0000003C">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c>
          <w:tcPr/>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4">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5">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c>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D">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E">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F">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0">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1">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2">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3">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4">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5">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6">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8">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9">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pos="-179"/>
                <w:tab w:val="left" w:pos="411"/>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B">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C">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D">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E">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F">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0">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1">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sz w:val="24"/>
                <w:szCs w:val="24"/>
                <w:rtl w:val="0"/>
              </w:rPr>
              <w:t xml:space="preserve">t</w:t>
            </w:r>
            <w:r w:rsidDel="00000000" w:rsidR="00000000" w:rsidRPr="00000000">
              <w:rPr>
                <w:rFonts w:ascii="Arial" w:cs="Arial" w:eastAsia="Arial" w:hAnsi="Arial"/>
                <w:sz w:val="24"/>
                <w:szCs w:val="24"/>
                <w:rtl w:val="0"/>
              </w:rPr>
              <w:t xml:space="preserve">he UK GDPR, the LED and any applicable national implementing Laws as amended from time to time; (ii) the DPA 2018 to the extent that it relates to Processing of personal dataPersonal Data and privacy; (iii) all applicable Law about the Processing of personal dataPersonal Data and privacy;</w:t>
            </w:r>
            <w:r w:rsidDel="00000000" w:rsidR="00000000" w:rsidRPr="00000000">
              <w:rPr>
                <w:rtl w:val="0"/>
              </w:rPr>
            </w:r>
          </w:p>
        </w:tc>
      </w:tr>
      <w:t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4">
            <w:pPr>
              <w:numPr>
                <w:ilvl w:val="0"/>
                <w:numId w:val="1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5">
            <w:pPr>
              <w:numPr>
                <w:ilvl w:val="0"/>
                <w:numId w:val="1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6">
            <w:pPr>
              <w:numPr>
                <w:ilvl w:val="0"/>
                <w:numId w:val="11"/>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7">
            <w:pPr>
              <w:numPr>
                <w:ilvl w:val="0"/>
                <w:numId w:val="16"/>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8">
            <w:pPr>
              <w:numPr>
                <w:ilvl w:val="0"/>
                <w:numId w:val="16"/>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bl>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any subsequent Contract Years, the Charges paid or payable in the previous Call-off Contract Year; or</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public sector purchaser that is:</w:t>
            </w:r>
          </w:p>
          <w:p w:rsidR="00000000" w:rsidDel="00000000" w:rsidP="00000000" w:rsidRDefault="00000000" w:rsidRPr="00000000" w14:paraId="000000E9">
            <w:pPr>
              <w:keepNext w:val="0"/>
              <w:keepLines w:val="0"/>
              <w:widowControl w:val="1"/>
              <w:numPr>
                <w:ilvl w:val="0"/>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A">
            <w:pPr>
              <w:keepNext w:val="0"/>
              <w:keepLines w:val="0"/>
              <w:widowControl w:val="1"/>
              <w:numPr>
                <w:ilvl w:val="0"/>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B">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EE">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20"/>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2009/81/EC of the European Parliament and Council;</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3"/>
        <w:tblW w:w="999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90"/>
        <w:tblGridChange w:id="0">
          <w:tblGrid>
            <w:gridCol w:w="2400"/>
            <w:gridCol w:w="7590"/>
          </w:tblGrid>
        </w:tblGridChange>
      </w:tblGrid>
      <w:t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w:t>
            </w:r>
            <w:r w:rsidDel="00000000" w:rsidR="00000000" w:rsidRPr="00000000">
              <w:rPr>
                <w:rFonts w:ascii="Arial" w:cs="Arial" w:eastAsia="Arial" w:hAnsi="Arial"/>
                <w:sz w:val="24"/>
                <w:szCs w:val="24"/>
                <w:rtl w:val="0"/>
              </w:rPr>
              <w:t xml:space="preserve">outside the reasonable control of each Party, </w:t>
            </w:r>
            <w:r w:rsidDel="00000000" w:rsidR="00000000" w:rsidRPr="00000000">
              <w:rPr>
                <w:rFonts w:ascii="Arial" w:cs="Arial" w:eastAsia="Arial" w:hAnsi="Arial"/>
                <w:color w:val="000000"/>
                <w:sz w:val="24"/>
                <w:szCs w:val="24"/>
                <w:rtl w:val="0"/>
              </w:rPr>
              <w:t xml:space="preserve">affecting its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performance of its obligations under the Contract arising from acts, events, omissions, happenings or non-happenings beyond </w:t>
            </w:r>
            <w:r w:rsidDel="00000000" w:rsidR="00000000" w:rsidRPr="00000000">
              <w:rPr>
                <w:rFonts w:ascii="Arial" w:cs="Arial" w:eastAsia="Arial" w:hAnsi="Arial"/>
                <w:sz w:val="24"/>
                <w:szCs w:val="24"/>
                <w:rtl w:val="0"/>
              </w:rPr>
              <w:t xml:space="preserve">reasonable control</w:t>
            </w:r>
            <w:r w:rsidDel="00000000" w:rsidR="00000000" w:rsidRPr="00000000">
              <w:rPr>
                <w:rFonts w:ascii="Arial" w:cs="Arial" w:eastAsia="Arial" w:hAnsi="Arial"/>
                <w:color w:val="000000"/>
                <w:sz w:val="24"/>
                <w:szCs w:val="24"/>
                <w:rtl w:val="0"/>
              </w:rPr>
              <w:t xml:space="preserve"> and which are not attributable to any wilful act, neglect or failure to take reasonable preventative action by </w:t>
            </w:r>
            <w:r w:rsidDel="00000000" w:rsidR="00000000" w:rsidRPr="00000000">
              <w:rPr>
                <w:rFonts w:ascii="Arial" w:cs="Arial" w:eastAsia="Arial" w:hAnsi="Arial"/>
                <w:sz w:val="24"/>
                <w:szCs w:val="24"/>
                <w:rtl w:val="0"/>
              </w:rPr>
              <w:t xml:space="preserve">that </w:t>
            </w:r>
            <w:r w:rsidDel="00000000" w:rsidR="00000000" w:rsidRPr="00000000">
              <w:rPr>
                <w:rFonts w:ascii="Arial" w:cs="Arial" w:eastAsia="Arial" w:hAnsi="Arial"/>
                <w:color w:val="000000"/>
                <w:sz w:val="24"/>
                <w:szCs w:val="24"/>
                <w:rtl w:val="0"/>
              </w:rPr>
              <w:t xml:space="preserve">Party, including:</w:t>
            </w:r>
          </w:p>
          <w:p w:rsidR="00000000" w:rsidDel="00000000" w:rsidP="00000000" w:rsidRDefault="00000000" w:rsidRPr="00000000" w14:paraId="00000107">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8">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9">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a </w:t>
            </w:r>
            <w:r w:rsidDel="00000000" w:rsidR="00000000" w:rsidRPr="00000000">
              <w:rPr>
                <w:rFonts w:ascii="Arial" w:cs="Arial" w:eastAsia="Arial" w:hAnsi="Arial"/>
                <w:sz w:val="24"/>
                <w:szCs w:val="24"/>
                <w:rtl w:val="0"/>
              </w:rPr>
              <w:t xml:space="preserve">government</w:t>
            </w:r>
            <w:r w:rsidDel="00000000" w:rsidR="00000000" w:rsidRPr="00000000">
              <w:rPr>
                <w:rFonts w:ascii="Arial" w:cs="Arial" w:eastAsia="Arial" w:hAnsi="Arial"/>
                <w:color w:val="000000"/>
                <w:sz w:val="24"/>
                <w:szCs w:val="24"/>
                <w:rtl w:val="0"/>
              </w:rPr>
              <w:t xml:space="preserve">, local government or regulatory bodies;</w:t>
            </w:r>
          </w:p>
          <w:p w:rsidR="00000000" w:rsidDel="00000000" w:rsidP="00000000" w:rsidRDefault="00000000" w:rsidRPr="00000000" w14:paraId="0000010A">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w:t>
            </w:r>
            <w:r w:rsidDel="00000000" w:rsidR="00000000" w:rsidRPr="00000000">
              <w:rPr>
                <w:rFonts w:ascii="Arial" w:cs="Arial" w:eastAsia="Arial" w:hAnsi="Arial"/>
                <w:sz w:val="24"/>
                <w:szCs w:val="24"/>
                <w:rtl w:val="0"/>
              </w:rPr>
              <w:t xml:space="preserve">notice published on the Find a Tender Service</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c>
          <w:tcPr/>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retained EU law version of</w:t>
            </w:r>
            <w:r w:rsidDel="00000000" w:rsidR="00000000" w:rsidRPr="00000000">
              <w:rPr>
                <w:sz w:val="24"/>
                <w:szCs w:val="24"/>
                <w:rtl w:val="0"/>
              </w:rPr>
              <w:t xml:space="preserve"> </w:t>
            </w:r>
            <w:r w:rsidDel="00000000" w:rsidR="00000000" w:rsidRPr="00000000">
              <w:rPr>
                <w:rFonts w:ascii="Arial" w:cs="Arial" w:eastAsia="Arial" w:hAnsi="Arial"/>
                <w:color w:val="000000"/>
                <w:sz w:val="24"/>
                <w:szCs w:val="24"/>
                <w:rtl w:val="0"/>
              </w:rPr>
              <w:t xml:space="preserve">the General Data Protection Regulation (Regulation (EU) 2016/679);</w:t>
            </w:r>
          </w:p>
        </w:tc>
      </w:tr>
      <w:t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7">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8">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w:t>
            </w:r>
            <w:r w:rsidDel="00000000" w:rsidR="00000000" w:rsidRPr="00000000">
              <w:rPr>
                <w:rFonts w:ascii="Arial" w:cs="Arial" w:eastAsia="Arial" w:hAnsi="Arial"/>
                <w:sz w:val="24"/>
                <w:szCs w:val="24"/>
                <w:rtl w:val="0"/>
              </w:rPr>
              <w:t xml:space="preserve"> Tax</w:t>
            </w:r>
            <w:r w:rsidDel="00000000" w:rsidR="00000000" w:rsidRPr="00000000">
              <w:rPr>
                <w:rFonts w:ascii="Arial" w:cs="Arial" w:eastAsia="Arial" w:hAnsi="Arial"/>
                <w:color w:val="000000"/>
                <w:sz w:val="24"/>
                <w:szCs w:val="24"/>
                <w:rtl w:val="0"/>
              </w:rPr>
              <w:t xml:space="preserve"> advantages arising from abusive arrangements to avoid National Insurance contributions;</w:t>
            </w:r>
          </w:p>
        </w:tc>
      </w:tr>
      <w:t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ax or duties of any sort affecting the Supplier) or which affects or relates to a Comparable Supply;</w:t>
            </w:r>
          </w:p>
        </w:tc>
      </w:tr>
      <w:t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3">
            <w:pPr>
              <w:numPr>
                <w:ilvl w:val="2"/>
                <w:numId w:val="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4">
            <w:pPr>
              <w:numPr>
                <w:ilvl w:val="2"/>
                <w:numId w:val="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F">
            <w:pPr>
              <w:numPr>
                <w:ilvl w:val="0"/>
                <w:numId w:val="2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0">
            <w:pPr>
              <w:numPr>
                <w:ilvl w:val="0"/>
                <w:numId w:val="2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1">
            <w:pPr>
              <w:numPr>
                <w:ilvl w:val="0"/>
                <w:numId w:val="2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2">
            <w:pPr>
              <w:numPr>
                <w:ilvl w:val="0"/>
                <w:numId w:val="2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3">
            <w:pPr>
              <w:numPr>
                <w:ilvl w:val="0"/>
                <w:numId w:val="23"/>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w:t>
            </w:r>
            <w:r w:rsidDel="00000000" w:rsidR="00000000" w:rsidRPr="00000000">
              <w:rPr>
                <w:rFonts w:ascii="Arial" w:cs="Arial" w:eastAsia="Arial" w:hAnsi="Arial"/>
                <w:sz w:val="24"/>
                <w:szCs w:val="24"/>
                <w:rtl w:val="0"/>
              </w:rPr>
              <w:t xml:space="preserve">the Consumer Price Index (CPI)</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c>
          <w:tcPr/>
          <w:p w:rsidR="00000000" w:rsidDel="00000000" w:rsidP="00000000" w:rsidRDefault="00000000" w:rsidRPr="00000000" w14:paraId="0000016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4">
            <w:pPr>
              <w:numPr>
                <w:ilvl w:val="0"/>
                <w:numId w:val="9"/>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000000" w:rsidDel="00000000" w:rsidP="00000000" w:rsidRDefault="00000000" w:rsidRPr="00000000" w14:paraId="00000165">
            <w:pPr>
              <w:numPr>
                <w:ilvl w:val="0"/>
                <w:numId w:val="9"/>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6">
            <w:pPr>
              <w:numPr>
                <w:ilvl w:val="0"/>
                <w:numId w:val="9"/>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trHeight w:val="357" w:hRule="atLeast"/>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trHeight w:val="426" w:hRule="atLeast"/>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7">
            <w:pPr>
              <w:numPr>
                <w:ilvl w:val="0"/>
                <w:numId w:val="1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8">
            <w:pPr>
              <w:numPr>
                <w:ilvl w:val="0"/>
                <w:numId w:val="1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9">
            <w:pPr>
              <w:numPr>
                <w:ilvl w:val="0"/>
                <w:numId w:val="12"/>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17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B">
            <w:pPr>
              <w:numPr>
                <w:ilvl w:val="0"/>
                <w:numId w:val="14"/>
              </w:numPr>
              <w:pBdr>
                <w:top w:space="0" w:sz="0" w:val="nil"/>
                <w:left w:space="0" w:sz="0" w:val="nil"/>
                <w:bottom w:space="0" w:sz="0" w:val="nil"/>
                <w:right w:space="0" w:sz="0" w:val="nil"/>
                <w:between w:space="0" w:sz="0" w:val="nil"/>
              </w:pBdr>
              <w:tabs>
                <w:tab w:val="left" w:pos="-576"/>
                <w:tab w:val="left" w:pos="175"/>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C">
            <w:pPr>
              <w:numPr>
                <w:ilvl w:val="0"/>
                <w:numId w:val="14"/>
              </w:numPr>
              <w:pBdr>
                <w:top w:space="0" w:sz="0" w:val="nil"/>
                <w:left w:space="0" w:sz="0" w:val="nil"/>
                <w:bottom w:space="0" w:sz="0" w:val="nil"/>
                <w:right w:space="0" w:sz="0" w:val="nil"/>
                <w:between w:space="0" w:sz="0" w:val="nil"/>
              </w:pBdr>
              <w:tabs>
                <w:tab w:val="left" w:pos="-576"/>
                <w:tab w:val="left" w:pos="175"/>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w:t>
            </w:r>
          </w:p>
          <w:p w:rsidR="00000000" w:rsidDel="00000000" w:rsidP="00000000" w:rsidRDefault="00000000" w:rsidRPr="00000000" w14:paraId="0000018D">
            <w:pPr>
              <w:numPr>
                <w:ilvl w:val="0"/>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0">
            <w:pPr>
              <w:numPr>
                <w:ilvl w:val="0"/>
                <w:numId w:val="1"/>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ax return of the Supplier submitted to a Relevant Tax Authority on or after 1 October 2012 is found on or after 1 April 2013 to be incorrect as a result of:</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576"/>
                <w:tab w:val="left" w:pos="144"/>
              </w:tabs>
              <w:spacing w:after="120" w:lineRule="auto"/>
              <w:ind w:left="70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 </w:t>
            </w: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ax rules or legislation in any jurisdiction that have an effect equivalent or similar to the General Anti-Abuse Rule or the Halifax Abuse Principle;</w:t>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576"/>
                <w:tab w:val="left" w:pos="144"/>
              </w:tabs>
              <w:spacing w:after="120" w:lineRule="auto"/>
              <w:ind w:left="70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ii) </w:t>
            </w: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3">
            <w:pPr>
              <w:numPr>
                <w:ilvl w:val="0"/>
                <w:numId w:val="1"/>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ax return of the Supplier submitted to a Relevant Tax Authority on or after 1 October 2012 which gives rise, on or after 1 April 2013, to a criminal conviction in any jurisdiction for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ax related offences which is not spent at the Start Date or to a civil penalty for fraud or evasion;</w:t>
            </w:r>
          </w:p>
        </w:tc>
      </w:tr>
      <w:tr>
        <w:trPr>
          <w:trHeight w:val="5726" w:hRule="atLeast"/>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6">
            <w:pPr>
              <w:numPr>
                <w:ilvl w:val="0"/>
                <w:numId w:val="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7">
            <w:pPr>
              <w:numPr>
                <w:ilvl w:val="0"/>
                <w:numId w:val="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8">
            <w:pPr>
              <w:numPr>
                <w:ilvl w:val="2"/>
                <w:numId w:val="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9">
            <w:pPr>
              <w:numPr>
                <w:ilvl w:val="2"/>
                <w:numId w:val="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A">
            <w:pPr>
              <w:numPr>
                <w:ilvl w:val="2"/>
                <w:numId w:val="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B">
            <w:pPr>
              <w:numPr>
                <w:ilvl w:val="2"/>
                <w:numId w:val="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C">
            <w:pPr>
              <w:numPr>
                <w:ilvl w:val="0"/>
                <w:numId w:val="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Overheads; </w:t>
            </w:r>
          </w:p>
          <w:p w:rsidR="00000000" w:rsidDel="00000000" w:rsidP="00000000" w:rsidRDefault="00000000" w:rsidRPr="00000000" w14:paraId="000001AD">
            <w:pPr>
              <w:numPr>
                <w:ilvl w:val="0"/>
                <w:numId w:val="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AE">
            <w:pPr>
              <w:numPr>
                <w:ilvl w:val="0"/>
                <w:numId w:val="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Profit achieved over the Framework Contract Period and on an annual basis;</w:t>
            </w:r>
          </w:p>
          <w:p w:rsidR="00000000" w:rsidDel="00000000" w:rsidP="00000000" w:rsidRDefault="00000000" w:rsidRPr="00000000" w14:paraId="000001AF">
            <w:pPr>
              <w:numPr>
                <w:ilvl w:val="0"/>
                <w:numId w:val="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0">
            <w:pPr>
              <w:numPr>
                <w:ilvl w:val="0"/>
                <w:numId w:val="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1">
            <w:pPr>
              <w:numPr>
                <w:ilvl w:val="0"/>
                <w:numId w:val="2"/>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actual Costs profile for each Service Period;</w:t>
            </w:r>
          </w:p>
        </w:tc>
      </w:tr>
      <w:t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c>
          <w:tcPr/>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1B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sz w:val="24"/>
                <w:szCs w:val="24"/>
                <w:rtl w:val="0"/>
              </w:rPr>
              <w:t xml:space="preserve">;</w:t>
            </w:r>
            <w:r w:rsidDel="00000000" w:rsidR="00000000" w:rsidRPr="00000000">
              <w:rPr>
                <w:rtl w:val="0"/>
              </w:rPr>
            </w:r>
          </w:p>
        </w:tc>
      </w:tr>
      <w:t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7">
            <w:pPr>
              <w:numPr>
                <w:ilvl w:val="0"/>
                <w:numId w:val="2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8">
            <w:pPr>
              <w:numPr>
                <w:ilvl w:val="2"/>
                <w:numId w:val="5"/>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9">
            <w:pPr>
              <w:numPr>
                <w:ilvl w:val="2"/>
                <w:numId w:val="5"/>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w:t>
            </w:r>
            <w:r w:rsidDel="00000000" w:rsidR="00000000" w:rsidRPr="00000000">
              <w:rPr>
                <w:rFonts w:ascii="Arial" w:cs="Arial" w:eastAsia="Arial" w:hAnsi="Arial"/>
                <w:sz w:val="24"/>
                <w:szCs w:val="24"/>
                <w:rtl w:val="0"/>
              </w:rPr>
              <w:t xml:space="preserve">relevant function or activity; </w:t>
            </w: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 committing any offence:</w:t>
              <w:tab/>
            </w:r>
            <w:r w:rsidDel="00000000" w:rsidR="00000000" w:rsidRPr="00000000">
              <w:rPr>
                <w:rtl w:val="0"/>
              </w:rPr>
            </w:r>
          </w:p>
          <w:p w:rsidR="00000000" w:rsidDel="00000000" w:rsidP="00000000" w:rsidRDefault="00000000" w:rsidRPr="00000000" w14:paraId="000001DC">
            <w:pPr>
              <w:numPr>
                <w:ilvl w:val="2"/>
                <w:numId w:val="5"/>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DD">
            <w:pPr>
              <w:numPr>
                <w:ilvl w:val="2"/>
                <w:numId w:val="5"/>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DE">
            <w:pPr>
              <w:numPr>
                <w:ilvl w:val="2"/>
                <w:numId w:val="5"/>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 </w:t>
            </w: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7">
            <w:pPr>
              <w:numPr>
                <w:ilvl w:val="0"/>
                <w:numId w:val="22"/>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8">
            <w:pPr>
              <w:numPr>
                <w:ilvl w:val="0"/>
                <w:numId w:val="22"/>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9">
            <w:pPr>
              <w:numPr>
                <w:ilvl w:val="0"/>
                <w:numId w:val="22"/>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r w:rsidDel="00000000" w:rsidR="00000000" w:rsidRPr="00000000">
              <w:rPr>
                <w:rtl w:val="0"/>
              </w:rPr>
            </w:r>
          </w:p>
          <w:p w:rsidR="00000000" w:rsidDel="00000000" w:rsidP="00000000" w:rsidRDefault="00000000" w:rsidRPr="00000000" w14:paraId="000001F1">
            <w:pPr>
              <w:numPr>
                <w:ilvl w:val="0"/>
                <w:numId w:val="3"/>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2">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6">
            <w:pPr>
              <w:numPr>
                <w:ilvl w:val="0"/>
                <w:numId w:val="4"/>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7">
            <w:pPr>
              <w:numPr>
                <w:ilvl w:val="0"/>
                <w:numId w:val="4"/>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1F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985"/>
                <w:tab w:val="left" w:pos="2127"/>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985"/>
                <w:tab w:val="left" w:pos="2127"/>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20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p w:rsidR="00000000" w:rsidDel="00000000" w:rsidP="00000000" w:rsidRDefault="00000000" w:rsidRPr="00000000" w14:paraId="0000021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1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F">
            <w:pPr>
              <w:numPr>
                <w:ilvl w:val="0"/>
                <w:numId w:val="1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0">
            <w:pPr>
              <w:numPr>
                <w:ilvl w:val="0"/>
                <w:numId w:val="15"/>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p w:rsidR="00000000" w:rsidDel="00000000" w:rsidP="00000000" w:rsidRDefault="00000000" w:rsidRPr="00000000" w14:paraId="00000221">
            <w:pPr>
              <w:numPr>
                <w:ilvl w:val="0"/>
                <w:numId w:val="15"/>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sz w:val="24"/>
                <w:szCs w:val="24"/>
                <w:u w:val="none"/>
              </w:rPr>
            </w:pPr>
            <w:r w:rsidDel="00000000" w:rsidR="00000000" w:rsidRPr="00000000">
              <w:rPr>
                <w:rFonts w:ascii="Arial" w:cs="Arial" w:eastAsia="Arial" w:hAnsi="Arial"/>
                <w:color w:val="ff0000"/>
                <w:sz w:val="24"/>
                <w:szCs w:val="24"/>
                <w:rtl w:val="0"/>
              </w:rPr>
              <w:t xml:space="preserve">those premises at which any Supplier Equipment or any part of the Supplier System is located (where any part of the Deliverables provided falls within Call-Off Schedule 6 (ICT Services);</w:t>
            </w:r>
            <w:r w:rsidDel="00000000" w:rsidR="00000000" w:rsidRPr="00000000">
              <w:rPr>
                <w:rtl w:val="0"/>
              </w:rPr>
            </w:r>
          </w:p>
        </w:tc>
      </w:tr>
      <w:tr>
        <w:trPr>
          <w:trHeight w:val="945" w:hRule="atLeast"/>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trHeight w:val="945" w:hRule="atLeast"/>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C">
            <w:pPr>
              <w:numPr>
                <w:ilvl w:val="0"/>
                <w:numId w:val="10"/>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D">
            <w:pPr>
              <w:numPr>
                <w:ilvl w:val="0"/>
                <w:numId w:val="10"/>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2E">
            <w:pPr>
              <w:numPr>
                <w:ilvl w:val="0"/>
                <w:numId w:val="10"/>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2F">
            <w:pPr>
              <w:numPr>
                <w:ilvl w:val="0"/>
                <w:numId w:val="10"/>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3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c>
          <w:tcPr/>
          <w:p w:rsidR="00000000" w:rsidDel="00000000" w:rsidP="00000000" w:rsidRDefault="00000000" w:rsidRPr="00000000" w14:paraId="0000023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8">
            <w:pPr>
              <w:numPr>
                <w:ilvl w:val="0"/>
                <w:numId w:val="6"/>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9">
            <w:pPr>
              <w:numPr>
                <w:ilvl w:val="0"/>
                <w:numId w:val="6"/>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A">
            <w:pPr>
              <w:numPr>
                <w:ilvl w:val="0"/>
                <w:numId w:val="6"/>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6">
            <w:pPr>
              <w:numPr>
                <w:ilvl w:val="0"/>
                <w:numId w:val="1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7">
            <w:pPr>
              <w:numPr>
                <w:ilvl w:val="0"/>
                <w:numId w:val="1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8">
            <w:pPr>
              <w:numPr>
                <w:ilvl w:val="0"/>
                <w:numId w:val="13"/>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134"/>
              </w:tabs>
              <w:spacing w:after="120" w:before="120" w:lineRule="auto"/>
              <w:ind w:left="567" w:hanging="425"/>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1">
            <w:pPr>
              <w:numPr>
                <w:ilvl w:val="0"/>
                <w:numId w:val="17"/>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2">
            <w:pPr>
              <w:numPr>
                <w:ilvl w:val="0"/>
                <w:numId w:val="17"/>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3">
            <w:pPr>
              <w:numPr>
                <w:ilvl w:val="0"/>
                <w:numId w:val="17"/>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“Tax”</w:t>
            </w:r>
            <w:r w:rsidDel="00000000" w:rsidR="00000000" w:rsidRPr="00000000">
              <w:rPr>
                <w:rtl w:val="0"/>
              </w:rPr>
            </w:r>
          </w:p>
        </w:tc>
        <w:tc>
          <w:tcPr/>
          <w:p w:rsidR="00000000" w:rsidDel="00000000" w:rsidP="00000000" w:rsidRDefault="00000000" w:rsidRPr="00000000" w14:paraId="0000025D">
            <w:pPr>
              <w:tabs>
                <w:tab w:val="left" w:pos="-179"/>
                <w:tab w:val="left" w:pos="-9"/>
              </w:tabs>
              <w:spacing w:after="240" w:before="240" w:lineRule="auto"/>
              <w:ind w:left="320" w:hanging="1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all forms of taxation whether direct or indirect;</w:t>
            </w:r>
          </w:p>
          <w:p w:rsidR="00000000" w:rsidDel="00000000" w:rsidP="00000000" w:rsidRDefault="00000000" w:rsidRPr="00000000" w14:paraId="0000025E">
            <w:pPr>
              <w:tabs>
                <w:tab w:val="left" w:pos="-179"/>
                <w:tab w:val="left" w:pos="-9"/>
              </w:tabs>
              <w:spacing w:after="240" w:before="240" w:lineRule="auto"/>
              <w:ind w:left="320" w:hanging="1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national insurance contributions in the United Kingdom and similar contributions or obligations in any other jurisdiction;</w:t>
            </w:r>
          </w:p>
          <w:p w:rsidR="00000000" w:rsidDel="00000000" w:rsidP="00000000" w:rsidRDefault="00000000" w:rsidRPr="00000000" w14:paraId="0000025F">
            <w:pPr>
              <w:tabs>
                <w:tab w:val="left" w:pos="-179"/>
                <w:tab w:val="left" w:pos="-9"/>
              </w:tabs>
              <w:spacing w:after="240" w:before="240" w:lineRule="auto"/>
              <w:ind w:left="320" w:hanging="1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0">
            <w:pPr>
              <w:tabs>
                <w:tab w:val="left" w:pos="-179"/>
                <w:tab w:val="left" w:pos="-9"/>
              </w:tabs>
              <w:spacing w:after="240" w:before="240" w:lineRule="auto"/>
              <w:ind w:left="320" w:hanging="1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any penalty, fine, surcharge, interest, charges or costs relating to any of the above,</w:t>
            </w:r>
          </w:p>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wherever chargeable and whether of the United Kingdom and any other jurisdiction;</w:t>
            </w:r>
          </w:p>
        </w:tc>
      </w:tr>
      <w:t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8">
            <w:pPr>
              <w:numPr>
                <w:ilvl w:val="0"/>
                <w:numId w:val="7"/>
              </w:numPr>
              <w:pBdr>
                <w:top w:space="0" w:sz="0" w:val="nil"/>
                <w:left w:space="0" w:sz="0" w:val="nil"/>
                <w:bottom w:space="0" w:sz="0" w:val="nil"/>
                <w:right w:space="0" w:sz="0" w:val="nil"/>
                <w:between w:space="0" w:sz="0" w:val="nil"/>
              </w:pBdr>
              <w:tabs>
                <w:tab w:val="left" w:pos="-576"/>
                <w:tab w:val="left" w:pos="141"/>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9">
            <w:pPr>
              <w:numPr>
                <w:ilvl w:val="0"/>
                <w:numId w:val="7"/>
              </w:numPr>
              <w:pBdr>
                <w:top w:space="0" w:sz="0" w:val="nil"/>
                <w:left w:space="0" w:sz="0" w:val="nil"/>
                <w:bottom w:space="0" w:sz="0" w:val="nil"/>
                <w:right w:space="0" w:sz="0" w:val="nil"/>
                <w:between w:space="0" w:sz="0" w:val="nil"/>
              </w:pBdr>
              <w:tabs>
                <w:tab w:val="left" w:pos="-576"/>
                <w:tab w:val="left" w:pos="141"/>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2">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r w:rsidDel="00000000" w:rsidR="00000000" w:rsidRPr="00000000">
              <w:rPr>
                <w:rtl w:val="0"/>
              </w:rPr>
            </w:r>
          </w:p>
          <w:p w:rsidR="00000000" w:rsidDel="00000000" w:rsidP="00000000" w:rsidRDefault="00000000" w:rsidRPr="00000000" w14:paraId="00000273">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Commercially Sensitive Information;</w:t>
            </w:r>
          </w:p>
          <w:p w:rsidR="00000000" w:rsidDel="00000000" w:rsidP="00000000" w:rsidRDefault="00000000" w:rsidRPr="00000000" w14:paraId="00000274">
            <w:pPr>
              <w:keepNext w:val="1"/>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c>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8.0 Work Hours, whether or not such hours are worked consecutively and whether or not they are worked on the same day; and</w:t>
            </w:r>
          </w:p>
        </w:tc>
      </w:tr>
      <w:t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9">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v3.7</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CiiIS9O8W1RlAnDBX5WTC93VtQ==">AMUW2mUU+Y23UPtDo88DPGJDccGbcjDgiSKBwJB5c7c/Gh9m/3M4oztpIVEaxe/3uTNPdm7GwZpFsmpSUhIvAokjJoemaM9gWJEhClpeE0YWUOAl2XCIOQY1Ju+k+3qf+bePjYzdZhYNP+qVzht6C7YyPDfSvULFWzTZ+uO8taqsdRPMWkS3VnaI+qelujfYNd0ljzJa0mnsoj7TXEkNPIvEIZIRkMFHbk8FwMtmWJIsdxe25tLZR+o=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2020-10-16T08:24:00Z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